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(Tagesbericht): Fachlagerist:in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ein Block pro Ausbildungstag,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Fachlagerist:in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1600"/>
        <w:gridCol w:w="7138"/>
        <w:gridCol w:w="900"/>
      </w:tblGrid>
      <w:tr>
        <w:tc>
          <w:tcPr>
            <w:tcW w:w="16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Tag</w:t>
            </w:r>
          </w:p>
        </w:tc>
        <w:tc>
          <w:tcPr>
            <w:tcW w:w="7138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Betriebliche Tätigkeiten, Unterweisungen, Berufsschule</w:t>
            </w:r>
          </w:p>
        </w:tc>
        <w:tc>
          <w:tcPr>
            <w:tcW w:w="9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Std.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Montag</w:t>
            </w:r>
          </w:p>
        </w:tc>
        <w:tc>
          <w:tcPr>
            <w:tcW w:w="71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Drei Lieferungen im Wareneingang geprüft, 42 Paletten eingelagert und gebucht</w:t>
            </w: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Dienstag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Mittwoch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Donnerstag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Freitag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Samstag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asyoube.de/berichtsheft/vorlage/fachlagerist-in</w:t>
      </w:r>
    </w:p>
    <w:sectPr>
      <w:pgSz w:w="11906" w:h="16838"/>
      <w:pgMar w:top="794" w:right="1134" w:bottom="680" w:left="1134" w:header="708" w:footer="708" w:gutter="0"/>
    </w:sectPr>
  </w:body>
</w:document>
</file>