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(Tagesbericht): Fachinformatiker:in für Anwendungsentwicklung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ein Block pro Ausbildungstag,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Fachinformatiker:in für Anwendungsentwicklung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1600"/>
        <w:gridCol w:w="7138"/>
        <w:gridCol w:w="900"/>
      </w:tblGrid>
      <w:tr>
        <w:tc>
          <w:tcPr>
            <w:tcW w:w="16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Tag</w:t>
            </w:r>
          </w:p>
        </w:tc>
        <w:tc>
          <w:tcPr>
            <w:tcW w:w="7138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Betriebliche Tätigkeiten, Unterweisungen, Berufsschule</w:t>
            </w:r>
          </w:p>
        </w:tc>
        <w:tc>
          <w:tcPr>
            <w:tcW w:w="9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Std.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Montag</w:t>
            </w:r>
          </w:p>
        </w:tc>
        <w:tc>
          <w:tcPr>
            <w:tcW w:w="71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Passwortregeln im Login ergänzt, Eingabeprüfung in Java mit Tests abgesichert</w:t>
            </w: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Dienstag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Mittwoch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Donnerstag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Freitag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Samstag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asyoube.de/berichtsheft/vorlage/fachinformatikerin-anwendungsentwicklung</w:t>
      </w:r>
    </w:p>
    <w:sectPr>
      <w:pgSz w:w="11906" w:h="16838"/>
      <w:pgMar w:top="794" w:right="1134" w:bottom="680" w:left="1134" w:header="708" w:footer="708" w:gutter="0"/>
    </w:sectPr>
  </w:body>
</w:document>
</file>